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18" w:rsidRPr="0017100F" w:rsidRDefault="00F12318" w:rsidP="004144AA">
      <w:pPr>
        <w:jc w:val="both"/>
      </w:pPr>
      <w:r w:rsidRPr="0017100F">
        <w:t>Le Conseil co</w:t>
      </w:r>
      <w:bookmarkStart w:id="0" w:name="_GoBack"/>
      <w:bookmarkEnd w:id="0"/>
      <w:r w:rsidRPr="0017100F">
        <w:t xml:space="preserve">mmunal, </w:t>
      </w:r>
    </w:p>
    <w:p w:rsidR="00F12318" w:rsidRDefault="00F12318" w:rsidP="004144AA">
      <w:pPr>
        <w:jc w:val="both"/>
      </w:pPr>
    </w:p>
    <w:p w:rsidR="00F12318" w:rsidRPr="0017100F" w:rsidRDefault="00F12318" w:rsidP="004144AA">
      <w:pPr>
        <w:jc w:val="both"/>
      </w:pPr>
      <w:r>
        <w:t>V</w:t>
      </w:r>
      <w:r w:rsidRPr="0017100F">
        <w:t>u la résolution du Parlement européen du 25 novembre 2010 sur les droits de l’Homme et les normes sociales et environnementales dans les accords commerciaux internationaux;</w:t>
      </w:r>
    </w:p>
    <w:p w:rsidR="00F12318" w:rsidRDefault="00F12318" w:rsidP="004144AA">
      <w:pPr>
        <w:jc w:val="both"/>
      </w:pPr>
    </w:p>
    <w:p w:rsidR="00F12318" w:rsidRDefault="00F12318" w:rsidP="004144AA">
      <w:pPr>
        <w:jc w:val="both"/>
      </w:pPr>
      <w:r>
        <w:t xml:space="preserve">Vu le mandat </w:t>
      </w:r>
      <w:r>
        <w:rPr>
          <w:rStyle w:val="at1"/>
        </w:rPr>
        <w:t xml:space="preserve">relatif à la conclusion avec les États-Unis d’un accord appelé «Partenariat transatlantique de commerce et d’investissement», </w:t>
      </w:r>
      <w:r>
        <w:t>donné par le Conseil des ministres européens des affaires étrangères et du commerce le 14 juin 2013 ;</w:t>
      </w:r>
    </w:p>
    <w:p w:rsidR="00F12318" w:rsidRDefault="00F12318" w:rsidP="004144AA">
      <w:pPr>
        <w:jc w:val="both"/>
      </w:pPr>
    </w:p>
    <w:p w:rsidR="00F12318" w:rsidRDefault="00F12318" w:rsidP="004144AA">
      <w:pPr>
        <w:jc w:val="both"/>
      </w:pPr>
      <w:r w:rsidRPr="0017100F">
        <w:t>Considérant que l’Union européenne et les Etats-Unis négocient un vaste accord de libre-échange</w:t>
      </w:r>
      <w:r>
        <w:t xml:space="preserve"> : Transatlantic Trade and Investment Partnership </w:t>
      </w:r>
      <w:r w:rsidRPr="0017100F">
        <w:t>(TTIP);</w:t>
      </w:r>
    </w:p>
    <w:p w:rsidR="00F12318" w:rsidRPr="0017100F" w:rsidRDefault="00F12318" w:rsidP="004144AA">
      <w:pPr>
        <w:jc w:val="both"/>
      </w:pPr>
    </w:p>
    <w:p w:rsidR="00F12318" w:rsidRDefault="00F12318" w:rsidP="004144AA">
      <w:pPr>
        <w:jc w:val="both"/>
      </w:pPr>
      <w:r w:rsidRPr="0017100F">
        <w:t xml:space="preserve">Considérant que les Etats-Unis n’ont ratifié que deux des huit conventions fondamentales de </w:t>
      </w:r>
      <w:r>
        <w:t>l’Organisation Internationale du Travail (OIT)</w:t>
      </w:r>
      <w:r w:rsidRPr="0017100F">
        <w:t>;</w:t>
      </w:r>
    </w:p>
    <w:p w:rsidR="00F12318" w:rsidRPr="0017100F" w:rsidRDefault="00F12318" w:rsidP="004144AA">
      <w:pPr>
        <w:jc w:val="both"/>
      </w:pPr>
    </w:p>
    <w:p w:rsidR="00F12318" w:rsidRDefault="00F12318" w:rsidP="004144AA">
      <w:pPr>
        <w:jc w:val="both"/>
      </w:pPr>
      <w:r w:rsidRPr="0017100F">
        <w:t xml:space="preserve">Constatant le manque de transparence du </w:t>
      </w:r>
      <w:r>
        <w:t>processus</w:t>
      </w:r>
      <w:r w:rsidRPr="0017100F">
        <w:t xml:space="preserve"> de négociation du TTIP et considérant les possibles conséquences inquiétantes</w:t>
      </w:r>
      <w:r>
        <w:t xml:space="preserve">, </w:t>
      </w:r>
      <w:r w:rsidRPr="0017100F">
        <w:t xml:space="preserve">notamment en termes de concurrence, de normes sociales, environnementales, économiques, sanitaires, agricoles, de propriété intellectuelle, </w:t>
      </w:r>
      <w:r>
        <w:t>de culture, ou d’enseignement</w:t>
      </w:r>
      <w:r w:rsidRPr="0017100F">
        <w:t xml:space="preserve"> ;</w:t>
      </w:r>
    </w:p>
    <w:p w:rsidR="00F12318" w:rsidRPr="0017100F" w:rsidRDefault="00F12318" w:rsidP="004144AA">
      <w:pPr>
        <w:jc w:val="both"/>
      </w:pPr>
    </w:p>
    <w:p w:rsidR="00F12318" w:rsidRDefault="00F12318" w:rsidP="004144AA">
      <w:pPr>
        <w:jc w:val="both"/>
      </w:pPr>
      <w:r w:rsidRPr="0017100F">
        <w:t xml:space="preserve">Considérant que la Belgique ne doit </w:t>
      </w:r>
      <w:r>
        <w:t xml:space="preserve">faire </w:t>
      </w:r>
      <w:r w:rsidRPr="0017100F">
        <w:t xml:space="preserve">aucune concession sur le principe de l’exception culturelle et doit assurer le respect absolu de la </w:t>
      </w:r>
      <w:r>
        <w:t>c</w:t>
      </w:r>
      <w:r w:rsidRPr="0017100F">
        <w:t>onvention de l’UNESCO sur la protection et la promotion de la diversité des expressions culturelles, adoptée à Paris, le 20 octobre 2005</w:t>
      </w:r>
      <w:r>
        <w:t>, et qui constitue un socle minimum</w:t>
      </w:r>
      <w:r w:rsidRPr="0017100F">
        <w:t> ;</w:t>
      </w:r>
    </w:p>
    <w:p w:rsidR="00F12318" w:rsidRPr="0017100F" w:rsidRDefault="00F12318" w:rsidP="004144AA">
      <w:pPr>
        <w:jc w:val="both"/>
      </w:pPr>
    </w:p>
    <w:p w:rsidR="00F12318" w:rsidRDefault="00F12318" w:rsidP="004144AA">
      <w:pPr>
        <w:jc w:val="both"/>
      </w:pPr>
      <w:r w:rsidRPr="0017100F">
        <w:t xml:space="preserve">Considérant l’importance de préserver le niveau de protection des normes sociales, sanitaires et environnementales et des droits fondamentaux </w:t>
      </w:r>
      <w:r>
        <w:t xml:space="preserve">du </w:t>
      </w:r>
      <w:r w:rsidRPr="0017100F">
        <w:t>travail en vigueur au sein de l’UE et d’assurer leur respect par les entreprises européennes et étrangères opérant sur le marché unique européen ;</w:t>
      </w:r>
    </w:p>
    <w:p w:rsidR="00F12318" w:rsidRDefault="00F12318" w:rsidP="004144AA">
      <w:pPr>
        <w:jc w:val="both"/>
      </w:pPr>
    </w:p>
    <w:p w:rsidR="00F12318" w:rsidRDefault="00F12318" w:rsidP="004144AA">
      <w:pPr>
        <w:jc w:val="both"/>
      </w:pPr>
      <w:r>
        <w:t>Considérant que les normes américaines sont particulièrement peu sévères dans de nombreux domaines (produits alimentaires, plantes génétiquement modifiées, médicaments, produits chimiques, matériel électronique,…) ; considérant que ces produits pourraient arriver sur le marché européen et belge, aux dépens de la production locale, des circuits courts et durables ;</w:t>
      </w:r>
    </w:p>
    <w:p w:rsidR="00F12318" w:rsidRPr="0017100F" w:rsidRDefault="00F12318" w:rsidP="004144AA">
      <w:pPr>
        <w:jc w:val="both"/>
      </w:pPr>
    </w:p>
    <w:p w:rsidR="00F12318" w:rsidRDefault="00F12318" w:rsidP="004144AA">
      <w:pPr>
        <w:jc w:val="both"/>
      </w:pPr>
      <w:r w:rsidRPr="0017100F">
        <w:t xml:space="preserve">Considérant que les accords de libre-échange ne doivent pas </w:t>
      </w:r>
      <w:r>
        <w:t>servir</w:t>
      </w:r>
      <w:r w:rsidRPr="0017100F">
        <w:t xml:space="preserve"> d</w:t>
      </w:r>
      <w:r>
        <w:t>’</w:t>
      </w:r>
      <w:r w:rsidRPr="0017100F">
        <w:t xml:space="preserve"> outils utilisés par certains pour </w:t>
      </w:r>
      <w:r>
        <w:t xml:space="preserve"> faire reculer</w:t>
      </w:r>
      <w:r w:rsidRPr="0017100F">
        <w:t>, voire abroger les législations européennes, nationales, régionales, provinciales ou communales;</w:t>
      </w:r>
    </w:p>
    <w:p w:rsidR="00F12318" w:rsidRPr="0017100F" w:rsidRDefault="00F12318" w:rsidP="004144AA">
      <w:pPr>
        <w:jc w:val="both"/>
      </w:pPr>
    </w:p>
    <w:p w:rsidR="00F12318" w:rsidRDefault="00F12318" w:rsidP="004144AA">
      <w:pPr>
        <w:jc w:val="both"/>
      </w:pPr>
      <w:r w:rsidRPr="0017100F">
        <w:t xml:space="preserve">Considérant que le mécanisme de règlement des différends entre investisseurs et Etats actuellement défendu par les négociateurs de l’accord créerait une cour arbitrale composée d’experts non élus devant laquelle </w:t>
      </w:r>
      <w:r>
        <w:t xml:space="preserve">les autorités publiques, et notamment </w:t>
      </w:r>
      <w:r w:rsidRPr="0017100F">
        <w:t xml:space="preserve">les </w:t>
      </w:r>
      <w:r>
        <w:t>c</w:t>
      </w:r>
      <w:r w:rsidRPr="0017100F">
        <w:t>ommunes, livrées aux avocats d’affaires, pourraient être directement attaquées par une firme privée</w:t>
      </w:r>
      <w:r>
        <w:t>; c</w:t>
      </w:r>
      <w:r w:rsidRPr="0017100F">
        <w:t>e</w:t>
      </w:r>
      <w:r>
        <w:t xml:space="preserve">ci </w:t>
      </w:r>
      <w:r w:rsidRPr="0017100F">
        <w:t>sign</w:t>
      </w:r>
      <w:r>
        <w:t xml:space="preserve">ifie que toute espèce de norme </w:t>
      </w:r>
      <w:r w:rsidRPr="0017100F">
        <w:t xml:space="preserve">sociale, sanitaire, alimentaire, environnementale ou technique adoptée par un Etat, une </w:t>
      </w:r>
      <w:r>
        <w:t>r</w:t>
      </w:r>
      <w:r w:rsidRPr="0017100F">
        <w:t>égion</w:t>
      </w:r>
      <w:r>
        <w:t xml:space="preserve">, </w:t>
      </w:r>
      <w:r w:rsidRPr="0017100F">
        <w:t>une commune, dès lors qu’elle contrarie une firme privée, pourrait être attaquée devant un mécanisme d’arbitrage privé ;</w:t>
      </w:r>
    </w:p>
    <w:p w:rsidR="00F12318" w:rsidRDefault="00F12318" w:rsidP="004144AA">
      <w:pPr>
        <w:jc w:val="both"/>
      </w:pPr>
    </w:p>
    <w:p w:rsidR="00F12318" w:rsidRDefault="00F12318" w:rsidP="004144AA">
      <w:pPr>
        <w:jc w:val="both"/>
      </w:pPr>
      <w:r>
        <w:t xml:space="preserve">Considérant que la Commission européenne propose également un mécanisme de coopération réglementaire, obligeant les autorités publiques européennes à consulter un conseil transatlantique avant l’adoption de toute réglementation pouvant avoir un effet sur le commerce transatlantique ; qu’un tel mécanisme est de nature à donner un accès privilégié aux grandes entreprises multinationales au marché européen; </w:t>
      </w:r>
    </w:p>
    <w:p w:rsidR="00F12318" w:rsidRPr="0017100F" w:rsidRDefault="00F12318" w:rsidP="004144AA">
      <w:pPr>
        <w:jc w:val="both"/>
      </w:pPr>
    </w:p>
    <w:p w:rsidR="00F12318" w:rsidRDefault="00F12318" w:rsidP="004144AA">
      <w:pPr>
        <w:jc w:val="both"/>
      </w:pPr>
      <w:r w:rsidRPr="0017100F">
        <w:t xml:space="preserve">Considérant qu’un tel montage juridique limiterait la capacité des autorités publiques de maintenir </w:t>
      </w:r>
      <w:r>
        <w:t xml:space="preserve">et de créer </w:t>
      </w:r>
      <w:r w:rsidRPr="0017100F">
        <w:t>de</w:t>
      </w:r>
      <w:r>
        <w:t xml:space="preserve"> nouveaux</w:t>
      </w:r>
      <w:r w:rsidRPr="0017100F">
        <w:t xml:space="preserve"> services publics (éducation, santé…), de protéger les droits sociaux, de garantir la protection sociale, </w:t>
      </w:r>
      <w:r>
        <w:t xml:space="preserve">d’agir pour l’emploi, </w:t>
      </w:r>
      <w:r w:rsidRPr="0017100F">
        <w:t>de maintenir des activités associatives, sociales, culturelles préservées du marché, y compris le cas spécifique de la coopération au développement (menaçant par-là la diversité culturelle et linguistique) ;</w:t>
      </w:r>
    </w:p>
    <w:p w:rsidR="00F12318" w:rsidRDefault="00F12318" w:rsidP="004144AA">
      <w:pPr>
        <w:jc w:val="both"/>
      </w:pPr>
    </w:p>
    <w:p w:rsidR="00F12318" w:rsidRPr="00F01929" w:rsidRDefault="00F12318" w:rsidP="008926C5">
      <w:pPr>
        <w:pStyle w:val="Normal12Hanging"/>
        <w:ind w:left="0" w:firstLine="0"/>
        <w:jc w:val="both"/>
        <w:rPr>
          <w:szCs w:val="24"/>
        </w:rPr>
      </w:pPr>
      <w:r w:rsidRPr="00F01929">
        <w:rPr>
          <w:color w:val="000000"/>
          <w:szCs w:val="24"/>
        </w:rPr>
        <w:t>Considérant qu'un rapport alternatif, une étude de l'Université</w:t>
      </w:r>
      <w:r w:rsidRPr="00F01929">
        <w:rPr>
          <w:rStyle w:val="apple-converted-space"/>
          <w:color w:val="000000"/>
          <w:szCs w:val="24"/>
        </w:rPr>
        <w:t> </w:t>
      </w:r>
      <w:r w:rsidRPr="00F01929">
        <w:rPr>
          <w:color w:val="000000"/>
          <w:szCs w:val="24"/>
        </w:rPr>
        <w:br/>
        <w:t>Turfs du Massachusetts, basée sur le « Global Policy Model » (Modèle des</w:t>
      </w:r>
      <w:r w:rsidRPr="00F01929">
        <w:rPr>
          <w:rStyle w:val="apple-converted-space"/>
          <w:color w:val="000000"/>
          <w:szCs w:val="24"/>
        </w:rPr>
        <w:t> </w:t>
      </w:r>
      <w:r w:rsidRPr="00F01929">
        <w:rPr>
          <w:color w:val="000000"/>
          <w:szCs w:val="24"/>
        </w:rPr>
        <w:br/>
        <w:t>politiques publiques mondiales), développé par les Nations Unies, simule</w:t>
      </w:r>
      <w:r w:rsidRPr="00F01929">
        <w:rPr>
          <w:rStyle w:val="apple-converted-space"/>
          <w:color w:val="000000"/>
          <w:szCs w:val="24"/>
        </w:rPr>
        <w:t> </w:t>
      </w:r>
      <w:r w:rsidRPr="00F01929">
        <w:rPr>
          <w:color w:val="000000"/>
          <w:szCs w:val="24"/>
        </w:rPr>
        <w:br/>
        <w:t>les effets du TTIP sur l’éc</w:t>
      </w:r>
      <w:r>
        <w:rPr>
          <w:color w:val="000000"/>
          <w:szCs w:val="24"/>
        </w:rPr>
        <w:t>onomie mondial, et estime à 600.</w:t>
      </w:r>
      <w:r w:rsidRPr="00F01929">
        <w:rPr>
          <w:color w:val="000000"/>
          <w:szCs w:val="24"/>
        </w:rPr>
        <w:t>000 les</w:t>
      </w:r>
      <w:r w:rsidRPr="00F01929">
        <w:rPr>
          <w:rStyle w:val="apple-converted-space"/>
          <w:color w:val="000000"/>
          <w:szCs w:val="24"/>
        </w:rPr>
        <w:t> </w:t>
      </w:r>
      <w:r w:rsidRPr="00F01929">
        <w:rPr>
          <w:color w:val="000000"/>
          <w:szCs w:val="24"/>
        </w:rPr>
        <w:br/>
        <w:t>pertes d'emploi potentielles en Europe liées au TTIP ;</w:t>
      </w:r>
    </w:p>
    <w:p w:rsidR="00F12318" w:rsidRPr="008926C5" w:rsidRDefault="00F12318" w:rsidP="008926C5">
      <w:pPr>
        <w:pStyle w:val="Normal12Hanging"/>
        <w:ind w:left="0" w:firstLine="0"/>
        <w:jc w:val="both"/>
        <w:rPr>
          <w:szCs w:val="24"/>
        </w:rPr>
      </w:pPr>
      <w:r w:rsidRPr="00F01929">
        <w:t>Considérant que la consultation</w:t>
      </w:r>
      <w:r>
        <w:t xml:space="preserve"> officielle</w:t>
      </w:r>
      <w:r w:rsidRPr="00F01929">
        <w:t xml:space="preserve"> lancée par la Commission européenne a</w:t>
      </w:r>
      <w:r w:rsidRPr="00F01929">
        <w:rPr>
          <w:rStyle w:val="apple-converted-space"/>
          <w:color w:val="000000"/>
          <w:szCs w:val="24"/>
        </w:rPr>
        <w:t> </w:t>
      </w:r>
      <w:r w:rsidRPr="00F01929">
        <w:br/>
        <w:t>montré un rejet très majoritaire des citoyens européens par rapport au</w:t>
      </w:r>
      <w:r w:rsidRPr="00F01929">
        <w:rPr>
          <w:rStyle w:val="apple-converted-space"/>
          <w:color w:val="000000"/>
          <w:szCs w:val="24"/>
        </w:rPr>
        <w:t> </w:t>
      </w:r>
      <w:r w:rsidRPr="00F01929">
        <w:br/>
        <w:t>méca</w:t>
      </w:r>
      <w:r>
        <w:t>nisme de règlement des différend</w:t>
      </w:r>
      <w:r w:rsidRPr="00F01929">
        <w:t>s (clause ISDS)</w:t>
      </w:r>
      <w:r>
        <w:t> ;</w:t>
      </w:r>
    </w:p>
    <w:p w:rsidR="00F12318" w:rsidRDefault="00F12318" w:rsidP="004144AA">
      <w:pPr>
        <w:jc w:val="both"/>
      </w:pPr>
      <w:r w:rsidRPr="0017100F">
        <w:t>Vu le risque pour la commune que le TTIP produise des effets directs ou indirects sur ses missions et sur la gestion des services publics ;</w:t>
      </w:r>
    </w:p>
    <w:p w:rsidR="00F12318" w:rsidRPr="0017100F" w:rsidRDefault="00F12318" w:rsidP="004144AA">
      <w:pPr>
        <w:jc w:val="both"/>
      </w:pPr>
    </w:p>
    <w:p w:rsidR="00F12318" w:rsidRDefault="00F12318" w:rsidP="004144AA">
      <w:pPr>
        <w:jc w:val="both"/>
      </w:pPr>
      <w:r w:rsidRPr="0017100F">
        <w:t xml:space="preserve">Le Conseil Communal </w:t>
      </w:r>
    </w:p>
    <w:p w:rsidR="00F12318" w:rsidRPr="0017100F" w:rsidRDefault="00F12318" w:rsidP="004144AA">
      <w:pPr>
        <w:jc w:val="both"/>
      </w:pPr>
    </w:p>
    <w:p w:rsidR="00F12318" w:rsidRDefault="00F12318" w:rsidP="004144AA">
      <w:pPr>
        <w:jc w:val="both"/>
      </w:pPr>
      <w:r w:rsidRPr="007E483E">
        <w:rPr>
          <w:b/>
        </w:rPr>
        <w:t>affirme</w:t>
      </w:r>
      <w:r w:rsidRPr="0017100F">
        <w:t xml:space="preserve"> ses craintes quant aux négociations telles qu’actuellement menées dans le cadre du TTIP qui constituent une menace grave pour nos démocraties communales, notamment en matière économique, sociale, sanitaire, environnementale, culturelle;</w:t>
      </w:r>
    </w:p>
    <w:p w:rsidR="00F12318" w:rsidRPr="0017100F" w:rsidRDefault="00F12318" w:rsidP="004144AA">
      <w:pPr>
        <w:jc w:val="both"/>
      </w:pPr>
    </w:p>
    <w:p w:rsidR="00F12318" w:rsidRDefault="00F12318" w:rsidP="004144AA">
      <w:pPr>
        <w:jc w:val="both"/>
      </w:pPr>
      <w:r w:rsidRPr="007E483E">
        <w:rPr>
          <w:b/>
        </w:rPr>
        <w:t>refuse</w:t>
      </w:r>
      <w:r w:rsidRPr="0017100F">
        <w:t xml:space="preserve"> toute tentative de dérégulation de nos normes et toute tentative d’affaiblir le cadre communal, régional, national ou européen notamment en matière sociale, de santé, d’environnement, des travailleurs, des consommateurs et des entreprises ;</w:t>
      </w:r>
    </w:p>
    <w:p w:rsidR="00F12318" w:rsidRPr="0017100F" w:rsidRDefault="00F12318" w:rsidP="004144AA">
      <w:pPr>
        <w:jc w:val="both"/>
      </w:pPr>
    </w:p>
    <w:p w:rsidR="00F12318" w:rsidRDefault="00F12318" w:rsidP="004144AA">
      <w:pPr>
        <w:jc w:val="both"/>
      </w:pPr>
      <w:r w:rsidRPr="007E483E">
        <w:rPr>
          <w:b/>
        </w:rPr>
        <w:t>demande</w:t>
      </w:r>
      <w:r w:rsidRPr="0017100F">
        <w:t xml:space="preserve"> aux autorités belges compétentes et concernées d’exiger que </w:t>
      </w:r>
      <w:r>
        <w:t xml:space="preserve">quelque </w:t>
      </w:r>
      <w:r w:rsidRPr="0017100F">
        <w:t xml:space="preserve"> négociation</w:t>
      </w:r>
      <w:r>
        <w:t xml:space="preserve"> commerciale que ce soit</w:t>
      </w:r>
      <w:r w:rsidRPr="0017100F">
        <w:t xml:space="preserve"> vise absolument une harmonisation vers le haut, c’est à dire intégrant les normes les plus élevées, que cela concerne les droits sociaux et la santé, les droits humains, les dispositifs de protection de l’environnement</w:t>
      </w:r>
      <w:r>
        <w:t>, la lutte contre l’évasion fiscale, l’abolition des paradis fiscaux, la réglementation bancaire et financière</w:t>
      </w:r>
      <w:r w:rsidRPr="0017100F">
        <w:t xml:space="preserve"> ou encore la protection des travailleurs et des consommateurs ;</w:t>
      </w:r>
    </w:p>
    <w:p w:rsidR="00F12318" w:rsidRDefault="00F12318" w:rsidP="004144AA">
      <w:pPr>
        <w:jc w:val="both"/>
      </w:pPr>
      <w:r w:rsidRPr="007E483E">
        <w:rPr>
          <w:b/>
        </w:rPr>
        <w:t>demande</w:t>
      </w:r>
      <w:r w:rsidRPr="0017100F">
        <w:t xml:space="preserve"> aux autorités belges compétentes</w:t>
      </w:r>
      <w:r>
        <w:t> :</w:t>
      </w:r>
    </w:p>
    <w:p w:rsidR="00F12318" w:rsidRDefault="00F12318" w:rsidP="004144AA">
      <w:pPr>
        <w:jc w:val="both"/>
      </w:pPr>
    </w:p>
    <w:p w:rsidR="00F12318" w:rsidRDefault="00F12318" w:rsidP="006C446A">
      <w:pPr>
        <w:pStyle w:val="ListParagraph"/>
        <w:numPr>
          <w:ilvl w:val="0"/>
          <w:numId w:val="1"/>
          <w:numberingChange w:id="1" w:author="Unknown" w:date="2015-02-02T17:37:00Z" w:original=""/>
        </w:numPr>
        <w:jc w:val="both"/>
      </w:pPr>
      <w:r w:rsidRPr="0017100F">
        <w:t>que les services publics et d’intérêt général soient absolument préservés d</w:t>
      </w:r>
      <w:r>
        <w:t>e</w:t>
      </w:r>
      <w:r w:rsidRPr="0017100F">
        <w:t xml:space="preserve"> </w:t>
      </w:r>
      <w:r>
        <w:t xml:space="preserve">tout </w:t>
      </w:r>
      <w:r w:rsidRPr="0017100F">
        <w:t xml:space="preserve">projet de traité </w:t>
      </w:r>
      <w:r>
        <w:t xml:space="preserve">commercial international </w:t>
      </w:r>
      <w:r w:rsidRPr="0017100F">
        <w:t>;</w:t>
      </w:r>
      <w:r>
        <w:t>de définir des balises claires et transparentes relatives aux principaux éléments constitutifs du modèle européen ;</w:t>
      </w:r>
    </w:p>
    <w:p w:rsidR="00F12318" w:rsidRPr="0017100F" w:rsidRDefault="00F12318" w:rsidP="004144AA">
      <w:pPr>
        <w:jc w:val="both"/>
      </w:pPr>
    </w:p>
    <w:p w:rsidR="00F12318" w:rsidRPr="0017100F" w:rsidRDefault="00F12318" w:rsidP="004144AA">
      <w:pPr>
        <w:jc w:val="both"/>
      </w:pPr>
      <w:r>
        <w:rPr>
          <w:b/>
        </w:rPr>
        <w:t>m</w:t>
      </w:r>
      <w:r w:rsidRPr="007E483E">
        <w:rPr>
          <w:b/>
        </w:rPr>
        <w:t>arque sa ferme opposition</w:t>
      </w:r>
      <w:r w:rsidRPr="0017100F">
        <w:t xml:space="preserve"> à toute clause de règlement des différends entre les investisseurs et les autorités publiques par un mécanisme d’arbitrage privé ;</w:t>
      </w:r>
    </w:p>
    <w:p w:rsidR="00F12318" w:rsidRDefault="00F12318" w:rsidP="004144AA">
      <w:pPr>
        <w:jc w:val="both"/>
      </w:pPr>
    </w:p>
    <w:p w:rsidR="00F12318" w:rsidRPr="0017100F" w:rsidRDefault="00F12318" w:rsidP="004144AA">
      <w:pPr>
        <w:jc w:val="both"/>
      </w:pPr>
      <w:r w:rsidRPr="007E483E">
        <w:rPr>
          <w:b/>
        </w:rPr>
        <w:t>demande</w:t>
      </w:r>
      <w:r w:rsidRPr="0017100F">
        <w:t xml:space="preserve"> aux autorités belges compétentes qu’un large débat sur l’ensemble des accords de libre-échange impliquant la participation de tous les niveaux de pouvoir</w:t>
      </w:r>
      <w:r>
        <w:t>,</w:t>
      </w:r>
      <w:r w:rsidRPr="0017100F">
        <w:t xml:space="preserve"> dont les autorités communales mais aussi les organisations syndicales et associatives représentatives, les organisations socio-professionnelles et les citoyens</w:t>
      </w:r>
      <w:r>
        <w:t>,</w:t>
      </w:r>
      <w:r w:rsidRPr="0017100F">
        <w:t xml:space="preserve"> soit organisé ;</w:t>
      </w:r>
    </w:p>
    <w:p w:rsidR="00F12318" w:rsidRDefault="00F12318" w:rsidP="004144AA">
      <w:pPr>
        <w:jc w:val="both"/>
      </w:pPr>
    </w:p>
    <w:p w:rsidR="00F12318" w:rsidRDefault="00F12318" w:rsidP="004144AA">
      <w:pPr>
        <w:jc w:val="both"/>
      </w:pPr>
      <w:r w:rsidRPr="007E483E">
        <w:rPr>
          <w:b/>
        </w:rPr>
        <w:t>demande</w:t>
      </w:r>
      <w:r w:rsidRPr="0017100F">
        <w:t xml:space="preserve"> aux autorités belges compétentes </w:t>
      </w:r>
      <w:r>
        <w:t xml:space="preserve">qu’il soit mis un terme définitif aux négociations du projet de Partenariat transatlantique sur le Commerce et l’Investissement entre l’Union Européenne et les Etats-Unis. </w:t>
      </w:r>
    </w:p>
    <w:p w:rsidR="00F12318" w:rsidRPr="0017100F" w:rsidRDefault="00F12318" w:rsidP="004144AA">
      <w:pPr>
        <w:jc w:val="both"/>
      </w:pPr>
    </w:p>
    <w:p w:rsidR="00F12318" w:rsidRPr="0017100F" w:rsidRDefault="00F12318" w:rsidP="004144AA">
      <w:pPr>
        <w:jc w:val="both"/>
      </w:pPr>
      <w:r w:rsidRPr="0017100F">
        <w:t>Ce traité recèle des atteintes à l’imp</w:t>
      </w:r>
      <w:r>
        <w:t>e</w:t>
      </w:r>
      <w:r w:rsidRPr="0017100F">
        <w:t xml:space="preserve">rium de l’Etat et à la souveraineté assumée au niveau national, régional, communautaire, provincial et communal. </w:t>
      </w:r>
    </w:p>
    <w:p w:rsidR="00F12318" w:rsidRDefault="00F12318" w:rsidP="004144AA">
      <w:pPr>
        <w:jc w:val="both"/>
      </w:pPr>
    </w:p>
    <w:p w:rsidR="00F12318" w:rsidRDefault="00F12318" w:rsidP="004144AA">
      <w:pPr>
        <w:jc w:val="both"/>
      </w:pPr>
      <w:r w:rsidRPr="0017100F">
        <w:t xml:space="preserve">Pour cette raison, </w:t>
      </w:r>
      <w:r>
        <w:t>Liège</w:t>
      </w:r>
      <w:r w:rsidRPr="0017100F">
        <w:t xml:space="preserve"> se déclare ville hors zone au TTIP.</w:t>
      </w:r>
      <w:r>
        <w:t xml:space="preserve"> "</w:t>
      </w:r>
    </w:p>
    <w:p w:rsidR="00F12318" w:rsidRDefault="00F12318"/>
    <w:sectPr w:rsidR="00F12318" w:rsidSect="00AA24E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318" w:rsidRDefault="00F12318" w:rsidP="00A053EA">
      <w:r>
        <w:separator/>
      </w:r>
    </w:p>
  </w:endnote>
  <w:endnote w:type="continuationSeparator" w:id="0">
    <w:p w:rsidR="00F12318" w:rsidRDefault="00F12318" w:rsidP="00A053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318" w:rsidRDefault="00F12318">
    <w:pPr>
      <w:pStyle w:val="Footer"/>
      <w:jc w:val="right"/>
    </w:pPr>
    <w:fldSimple w:instr=" PAGE   \* MERGEFORMAT ">
      <w:r>
        <w:rPr>
          <w:noProof/>
        </w:rPr>
        <w:t>1</w:t>
      </w:r>
    </w:fldSimple>
  </w:p>
  <w:p w:rsidR="00F12318" w:rsidRDefault="00F12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318" w:rsidRDefault="00F12318" w:rsidP="00A053EA">
      <w:r>
        <w:separator/>
      </w:r>
    </w:p>
  </w:footnote>
  <w:footnote w:type="continuationSeparator" w:id="0">
    <w:p w:rsidR="00F12318" w:rsidRDefault="00F12318" w:rsidP="00A05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F2CC0"/>
    <w:multiLevelType w:val="hybridMultilevel"/>
    <w:tmpl w:val="0A967E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4AA"/>
    <w:rsid w:val="00030D67"/>
    <w:rsid w:val="0017100F"/>
    <w:rsid w:val="001B1A8F"/>
    <w:rsid w:val="001D1011"/>
    <w:rsid w:val="0022347C"/>
    <w:rsid w:val="0025767A"/>
    <w:rsid w:val="0036220C"/>
    <w:rsid w:val="003B5BF2"/>
    <w:rsid w:val="003F252D"/>
    <w:rsid w:val="0040699C"/>
    <w:rsid w:val="004144AA"/>
    <w:rsid w:val="004943D8"/>
    <w:rsid w:val="00617FC8"/>
    <w:rsid w:val="006211E6"/>
    <w:rsid w:val="006C2B5F"/>
    <w:rsid w:val="006C446A"/>
    <w:rsid w:val="006F5548"/>
    <w:rsid w:val="007E483E"/>
    <w:rsid w:val="0083080A"/>
    <w:rsid w:val="008926C5"/>
    <w:rsid w:val="008E66F0"/>
    <w:rsid w:val="00A053EA"/>
    <w:rsid w:val="00A55A5A"/>
    <w:rsid w:val="00AA24EC"/>
    <w:rsid w:val="00AB242C"/>
    <w:rsid w:val="00AF4E2D"/>
    <w:rsid w:val="00B1169F"/>
    <w:rsid w:val="00D16CB4"/>
    <w:rsid w:val="00DF0885"/>
    <w:rsid w:val="00DF2181"/>
    <w:rsid w:val="00F01929"/>
    <w:rsid w:val="00F12318"/>
    <w:rsid w:val="00FC5AC1"/>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AA"/>
    <w:rPr>
      <w:rFonts w:ascii="Times New Roman" w:eastAsia="Times New Roman" w:hAnsi="Times New Roman"/>
      <w:sz w:val="24"/>
      <w:szCs w:val="24"/>
      <w:lang w:val="fr-FR"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1">
    <w:name w:val="a__t1"/>
    <w:basedOn w:val="DefaultParagraphFont"/>
    <w:uiPriority w:val="99"/>
    <w:rsid w:val="00030D67"/>
    <w:rPr>
      <w:rFonts w:cs="Times New Roman"/>
    </w:rPr>
  </w:style>
  <w:style w:type="paragraph" w:customStyle="1" w:styleId="Normal12Hanging">
    <w:name w:val="Normal12Hanging"/>
    <w:basedOn w:val="Normal"/>
    <w:uiPriority w:val="99"/>
    <w:rsid w:val="008926C5"/>
    <w:pPr>
      <w:widowControl w:val="0"/>
      <w:spacing w:after="240"/>
      <w:ind w:left="357" w:hanging="357"/>
    </w:pPr>
    <w:rPr>
      <w:szCs w:val="20"/>
      <w:lang w:eastAsia="en-GB"/>
    </w:rPr>
  </w:style>
  <w:style w:type="character" w:customStyle="1" w:styleId="apple-converted-space">
    <w:name w:val="apple-converted-space"/>
    <w:uiPriority w:val="99"/>
    <w:rsid w:val="008926C5"/>
  </w:style>
  <w:style w:type="character" w:styleId="CommentReference">
    <w:name w:val="annotation reference"/>
    <w:basedOn w:val="DefaultParagraphFont"/>
    <w:uiPriority w:val="99"/>
    <w:semiHidden/>
    <w:rsid w:val="00DF0885"/>
    <w:rPr>
      <w:rFonts w:cs="Times New Roman"/>
      <w:sz w:val="16"/>
      <w:szCs w:val="16"/>
    </w:rPr>
  </w:style>
  <w:style w:type="paragraph" w:styleId="CommentText">
    <w:name w:val="annotation text"/>
    <w:basedOn w:val="Normal"/>
    <w:link w:val="CommentTextChar"/>
    <w:uiPriority w:val="99"/>
    <w:semiHidden/>
    <w:rsid w:val="00DF0885"/>
    <w:rPr>
      <w:sz w:val="20"/>
      <w:szCs w:val="20"/>
    </w:rPr>
  </w:style>
  <w:style w:type="character" w:customStyle="1" w:styleId="CommentTextChar">
    <w:name w:val="Comment Text Char"/>
    <w:basedOn w:val="DefaultParagraphFont"/>
    <w:link w:val="CommentText"/>
    <w:uiPriority w:val="99"/>
    <w:semiHidden/>
    <w:locked/>
    <w:rsid w:val="00DF0885"/>
    <w:rPr>
      <w:rFonts w:ascii="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rsid w:val="00DF0885"/>
    <w:rPr>
      <w:b/>
      <w:bCs/>
    </w:rPr>
  </w:style>
  <w:style w:type="character" w:customStyle="1" w:styleId="CommentSubjectChar">
    <w:name w:val="Comment Subject Char"/>
    <w:basedOn w:val="CommentTextChar"/>
    <w:link w:val="CommentSubject"/>
    <w:uiPriority w:val="99"/>
    <w:semiHidden/>
    <w:locked/>
    <w:rsid w:val="00DF0885"/>
    <w:rPr>
      <w:b/>
      <w:bCs/>
    </w:rPr>
  </w:style>
  <w:style w:type="paragraph" w:styleId="BalloonText">
    <w:name w:val="Balloon Text"/>
    <w:basedOn w:val="Normal"/>
    <w:link w:val="BalloonTextChar"/>
    <w:uiPriority w:val="99"/>
    <w:semiHidden/>
    <w:rsid w:val="00DF08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885"/>
    <w:rPr>
      <w:rFonts w:ascii="Tahoma" w:hAnsi="Tahoma" w:cs="Tahoma"/>
      <w:sz w:val="16"/>
      <w:szCs w:val="16"/>
      <w:lang w:val="fr-FR" w:eastAsia="fr-FR"/>
    </w:rPr>
  </w:style>
  <w:style w:type="paragraph" w:styleId="Header">
    <w:name w:val="header"/>
    <w:basedOn w:val="Normal"/>
    <w:link w:val="HeaderChar"/>
    <w:uiPriority w:val="99"/>
    <w:semiHidden/>
    <w:rsid w:val="00A053EA"/>
    <w:pPr>
      <w:tabs>
        <w:tab w:val="center" w:pos="4536"/>
        <w:tab w:val="right" w:pos="9072"/>
      </w:tabs>
    </w:pPr>
  </w:style>
  <w:style w:type="character" w:customStyle="1" w:styleId="HeaderChar">
    <w:name w:val="Header Char"/>
    <w:basedOn w:val="DefaultParagraphFont"/>
    <w:link w:val="Header"/>
    <w:uiPriority w:val="99"/>
    <w:semiHidden/>
    <w:locked/>
    <w:rsid w:val="00A053EA"/>
    <w:rPr>
      <w:rFonts w:ascii="Times New Roman" w:hAnsi="Times New Roman" w:cs="Times New Roman"/>
      <w:sz w:val="24"/>
      <w:szCs w:val="24"/>
      <w:lang w:val="fr-FR" w:eastAsia="fr-FR"/>
    </w:rPr>
  </w:style>
  <w:style w:type="paragraph" w:styleId="Footer">
    <w:name w:val="footer"/>
    <w:basedOn w:val="Normal"/>
    <w:link w:val="FooterChar"/>
    <w:uiPriority w:val="99"/>
    <w:rsid w:val="00A053EA"/>
    <w:pPr>
      <w:tabs>
        <w:tab w:val="center" w:pos="4536"/>
        <w:tab w:val="right" w:pos="9072"/>
      </w:tabs>
    </w:pPr>
  </w:style>
  <w:style w:type="character" w:customStyle="1" w:styleId="FooterChar">
    <w:name w:val="Footer Char"/>
    <w:basedOn w:val="DefaultParagraphFont"/>
    <w:link w:val="Footer"/>
    <w:uiPriority w:val="99"/>
    <w:locked/>
    <w:rsid w:val="00A053EA"/>
    <w:rPr>
      <w:rFonts w:ascii="Times New Roman" w:hAnsi="Times New Roman" w:cs="Times New Roman"/>
      <w:sz w:val="24"/>
      <w:szCs w:val="24"/>
      <w:lang w:val="fr-FR" w:eastAsia="fr-FR"/>
    </w:rPr>
  </w:style>
  <w:style w:type="paragraph" w:styleId="ListParagraph">
    <w:name w:val="List Paragraph"/>
    <w:basedOn w:val="Normal"/>
    <w:uiPriority w:val="99"/>
    <w:qFormat/>
    <w:rsid w:val="006C44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1022</Words>
  <Characters>5622</Characters>
  <Application>Microsoft Office Outlook</Application>
  <DocSecurity>0</DocSecurity>
  <Lines>0</Lines>
  <Paragraphs>0</Paragraphs>
  <ScaleCrop>false</ScaleCrop>
  <Company>Ville de Liège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Conseil communal, </dc:title>
  <dc:subject/>
  <dc:creator>Laurent Rea Fuente</dc:creator>
  <cp:keywords/>
  <dc:description/>
  <cp:lastModifiedBy> </cp:lastModifiedBy>
  <cp:revision>2</cp:revision>
  <cp:lastPrinted>2015-02-02T11:14:00Z</cp:lastPrinted>
  <dcterms:created xsi:type="dcterms:W3CDTF">2015-02-02T16:37:00Z</dcterms:created>
  <dcterms:modified xsi:type="dcterms:W3CDTF">2015-02-02T16:37:00Z</dcterms:modified>
</cp:coreProperties>
</file>