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62" w:rsidRDefault="00A92C62" w:rsidP="004F350F">
      <w:pPr>
        <w:pStyle w:val="Title"/>
        <w:jc w:val="center"/>
      </w:pPr>
      <w:r>
        <w:t xml:space="preserve">Proposition d’amendement Ecolo </w:t>
      </w:r>
    </w:p>
    <w:p w:rsidR="00A92C62" w:rsidRDefault="00A92C62" w:rsidP="004F350F">
      <w:pPr>
        <w:pStyle w:val="Title"/>
        <w:jc w:val="center"/>
      </w:pPr>
      <w:r>
        <w:t>à la convention «  Reflektor »</w:t>
      </w:r>
    </w:p>
    <w:p w:rsidR="00A92C62" w:rsidRDefault="00A92C62" w:rsidP="004F350F">
      <w:pPr>
        <w:pStyle w:val="Title"/>
        <w:jc w:val="center"/>
        <w:rPr>
          <w:b/>
          <w:bCs/>
          <w:color w:val="365F91"/>
          <w:sz w:val="28"/>
          <w:szCs w:val="28"/>
        </w:rPr>
      </w:pPr>
      <w:r w:rsidRPr="004F350F">
        <w:rPr>
          <w:b/>
          <w:bCs/>
          <w:color w:val="365F91"/>
          <w:sz w:val="28"/>
          <w:szCs w:val="28"/>
        </w:rPr>
        <w:t>Conseil communal du 2/2/2015</w:t>
      </w:r>
    </w:p>
    <w:p w:rsidR="00A92C62" w:rsidRPr="00C2266E" w:rsidRDefault="00A92C62" w:rsidP="00C2266E"/>
    <w:p w:rsidR="00A92C62" w:rsidRDefault="00A92C62" w:rsidP="00EF7582">
      <w:pPr>
        <w:pStyle w:val="Heading1"/>
        <w:rPr>
          <w:u w:val="single"/>
        </w:rPr>
      </w:pPr>
      <w:r w:rsidRPr="00EF7582">
        <w:rPr>
          <w:u w:val="single"/>
        </w:rPr>
        <w:t xml:space="preserve">Amendement 1 </w:t>
      </w:r>
    </w:p>
    <w:p w:rsidR="00A92C62" w:rsidRPr="00F605BF" w:rsidRDefault="00A92C62" w:rsidP="00F605BF">
      <w:pPr>
        <w:rPr>
          <w:rFonts w:ascii="Cambria" w:hAnsi="Cambria"/>
          <w:b/>
          <w:bCs/>
          <w:color w:val="4F81BD"/>
          <w:sz w:val="26"/>
          <w:szCs w:val="26"/>
        </w:rPr>
      </w:pPr>
      <w:r w:rsidRPr="00F605BF">
        <w:rPr>
          <w:rFonts w:ascii="Cambria" w:hAnsi="Cambria"/>
          <w:b/>
          <w:bCs/>
          <w:color w:val="4F81BD"/>
          <w:sz w:val="26"/>
          <w:szCs w:val="26"/>
        </w:rPr>
        <w:t>Article concerné : ARTICLE 1- OBJET DE LA CONCESSION DE SERVICE PUBLIC</w:t>
      </w:r>
    </w:p>
    <w:p w:rsidR="00A92C62" w:rsidRDefault="00A92C62" w:rsidP="00F605BF">
      <w:r>
        <w:t xml:space="preserve">Au deuxième paragraphe, compléter celui-ci comme suit : </w:t>
      </w:r>
      <w:r w:rsidRPr="00F605BF">
        <w:t>3.exploiter à titre de salle de concert les lieux ainsi aménagés.</w:t>
      </w:r>
      <w:r>
        <w:t xml:space="preserve"> </w:t>
      </w:r>
      <w:r w:rsidRPr="00F605BF">
        <w:rPr>
          <w:b/>
          <w:i/>
        </w:rPr>
        <w:t xml:space="preserve"> Les activités de clubbing ne sont pas autorisées.</w:t>
      </w:r>
    </w:p>
    <w:p w:rsidR="00A92C62" w:rsidRPr="00F605BF" w:rsidRDefault="00A92C62" w:rsidP="00F605BF">
      <w:pPr>
        <w:pStyle w:val="Heading1"/>
        <w:rPr>
          <w:u w:val="single"/>
        </w:rPr>
      </w:pPr>
      <w:r w:rsidRPr="00EF7582">
        <w:rPr>
          <w:u w:val="single"/>
        </w:rPr>
        <w:t xml:space="preserve">Amendement </w:t>
      </w:r>
      <w:r>
        <w:rPr>
          <w:u w:val="single"/>
        </w:rPr>
        <w:t>2</w:t>
      </w:r>
    </w:p>
    <w:p w:rsidR="00A92C62" w:rsidRDefault="00A92C62" w:rsidP="00EF7582">
      <w:pPr>
        <w:pStyle w:val="Heading2"/>
      </w:pPr>
      <w:r>
        <w:t>Article concerné : 11.1.1. Jours d'ouverture – accessibilité</w:t>
      </w:r>
    </w:p>
    <w:p w:rsidR="00A92C62" w:rsidRDefault="00A92C62" w:rsidP="00EF7582">
      <w:pPr>
        <w:jc w:val="both"/>
      </w:pPr>
      <w:r>
        <w:t xml:space="preserve">Ajouter au §2 : Le concessionnaire devra assurer une activité qui correspond au minimum aux activités annoncées dans la proposition </w:t>
      </w:r>
      <w:r w:rsidRPr="00EF7582">
        <w:rPr>
          <w:b/>
          <w:i/>
        </w:rPr>
        <w:t>et à l’article 13 de la présente convention.</w:t>
      </w:r>
    </w:p>
    <w:p w:rsidR="00A92C62" w:rsidRDefault="00A92C62" w:rsidP="00EF7582">
      <w:pPr>
        <w:jc w:val="both"/>
        <w:rPr>
          <w:b/>
          <w:i/>
        </w:rPr>
      </w:pPr>
      <w:r>
        <w:t xml:space="preserve">Ajouter à la suite du § 3 : </w:t>
      </w:r>
      <w:r>
        <w:rPr>
          <w:b/>
          <w:i/>
        </w:rPr>
        <w:t>La salle de concert fermera à 1 h de matin de manière à assurer la compatibilité avec l’activité horeca avoisinante et l’insertion dans l’environnement direct résidentiel.</w:t>
      </w:r>
    </w:p>
    <w:p w:rsidR="00A92C62" w:rsidRDefault="00A92C62" w:rsidP="00EF7582">
      <w:pPr>
        <w:jc w:val="both"/>
        <w:rPr>
          <w:b/>
          <w:i/>
        </w:rPr>
      </w:pPr>
    </w:p>
    <w:p w:rsidR="00A92C62" w:rsidRDefault="00A92C62" w:rsidP="00EF7582">
      <w:pPr>
        <w:jc w:val="both"/>
        <w:rPr>
          <w:rFonts w:ascii="Cambria" w:hAnsi="Cambria"/>
          <w:b/>
          <w:bCs/>
          <w:color w:val="365F91"/>
          <w:sz w:val="28"/>
          <w:szCs w:val="28"/>
          <w:u w:val="single"/>
        </w:rPr>
      </w:pPr>
      <w:r>
        <w:rPr>
          <w:rFonts w:ascii="Cambria" w:hAnsi="Cambria"/>
          <w:b/>
          <w:bCs/>
          <w:color w:val="365F91"/>
          <w:sz w:val="28"/>
          <w:szCs w:val="28"/>
          <w:u w:val="single"/>
        </w:rPr>
        <w:t>Amendement 3</w:t>
      </w:r>
    </w:p>
    <w:p w:rsidR="00A92C62" w:rsidRDefault="00A92C62" w:rsidP="00EF7582">
      <w:pPr>
        <w:jc w:val="both"/>
        <w:rPr>
          <w:rFonts w:ascii="Cambria" w:hAnsi="Cambria"/>
          <w:b/>
          <w:bCs/>
          <w:color w:val="4F81BD"/>
          <w:sz w:val="26"/>
          <w:szCs w:val="26"/>
        </w:rPr>
      </w:pPr>
      <w:r w:rsidRPr="00EF7582">
        <w:rPr>
          <w:rFonts w:ascii="Cambria" w:hAnsi="Cambria"/>
          <w:b/>
          <w:bCs/>
          <w:color w:val="4F81BD"/>
          <w:sz w:val="26"/>
          <w:szCs w:val="26"/>
        </w:rPr>
        <w:t>Article concerné</w:t>
      </w:r>
      <w:r>
        <w:rPr>
          <w:rFonts w:ascii="Cambria" w:hAnsi="Cambria"/>
          <w:b/>
          <w:bCs/>
          <w:color w:val="4F81BD"/>
          <w:sz w:val="26"/>
          <w:szCs w:val="26"/>
        </w:rPr>
        <w:t xml:space="preserve"> : </w:t>
      </w:r>
      <w:r w:rsidRPr="004F350F">
        <w:rPr>
          <w:rFonts w:ascii="Cambria" w:hAnsi="Cambria"/>
          <w:b/>
          <w:bCs/>
          <w:color w:val="4F81BD"/>
          <w:sz w:val="26"/>
          <w:szCs w:val="26"/>
        </w:rPr>
        <w:t>11.1.4.</w:t>
      </w:r>
      <w:r>
        <w:rPr>
          <w:rFonts w:ascii="Cambria" w:hAnsi="Cambria"/>
          <w:b/>
          <w:bCs/>
          <w:color w:val="4F81BD"/>
          <w:sz w:val="26"/>
          <w:szCs w:val="26"/>
        </w:rPr>
        <w:t xml:space="preserve"> </w:t>
      </w:r>
      <w:r w:rsidRPr="004F350F">
        <w:rPr>
          <w:rFonts w:ascii="Cambria" w:hAnsi="Cambria"/>
          <w:b/>
          <w:bCs/>
          <w:color w:val="4F81BD"/>
          <w:sz w:val="26"/>
          <w:szCs w:val="26"/>
        </w:rPr>
        <w:t>– Débit de boissons et petite restauration</w:t>
      </w:r>
    </w:p>
    <w:p w:rsidR="00A92C62" w:rsidRPr="004F350F" w:rsidRDefault="00A92C62" w:rsidP="00EF7582">
      <w:pPr>
        <w:jc w:val="both"/>
      </w:pPr>
      <w:r w:rsidRPr="004F350F">
        <w:t xml:space="preserve">Ajouter </w:t>
      </w:r>
      <w:r>
        <w:t xml:space="preserve">un second alinéa : </w:t>
      </w:r>
      <w:r w:rsidRPr="004F350F">
        <w:rPr>
          <w:b/>
          <w:i/>
        </w:rPr>
        <w:t>En cas de sous- traitance, le concessionnaire sous traitera également la gestion du bar, partie intrinsèque du business model de l’organisation de concert, lorsque ses obligations visées à l’article 13 sont concernées.</w:t>
      </w:r>
    </w:p>
    <w:p w:rsidR="00A92C62" w:rsidRDefault="00A92C62" w:rsidP="00EF7582">
      <w:pPr>
        <w:jc w:val="both"/>
        <w:rPr>
          <w:b/>
          <w:i/>
        </w:rPr>
      </w:pPr>
    </w:p>
    <w:p w:rsidR="00A92C62" w:rsidRDefault="00A92C62" w:rsidP="00EF7582">
      <w:pPr>
        <w:jc w:val="both"/>
        <w:rPr>
          <w:rFonts w:ascii="Cambria" w:hAnsi="Cambria"/>
          <w:b/>
          <w:bCs/>
          <w:color w:val="365F91"/>
          <w:sz w:val="28"/>
          <w:szCs w:val="28"/>
          <w:u w:val="single"/>
        </w:rPr>
      </w:pPr>
      <w:r w:rsidRPr="004F350F">
        <w:rPr>
          <w:rFonts w:ascii="Cambria" w:hAnsi="Cambria"/>
          <w:b/>
          <w:bCs/>
          <w:color w:val="365F91"/>
          <w:sz w:val="28"/>
          <w:szCs w:val="28"/>
          <w:u w:val="single"/>
        </w:rPr>
        <w:t xml:space="preserve">Amendement </w:t>
      </w:r>
      <w:r>
        <w:rPr>
          <w:rFonts w:ascii="Cambria" w:hAnsi="Cambria"/>
          <w:b/>
          <w:bCs/>
          <w:color w:val="365F91"/>
          <w:sz w:val="28"/>
          <w:szCs w:val="28"/>
          <w:u w:val="single"/>
        </w:rPr>
        <w:t xml:space="preserve">4 : </w:t>
      </w:r>
      <w:r w:rsidRPr="00AA50E8">
        <w:rPr>
          <w:rFonts w:ascii="Cambria" w:hAnsi="Cambria"/>
          <w:b/>
          <w:bCs/>
          <w:color w:val="365F91"/>
          <w:sz w:val="28"/>
          <w:szCs w:val="28"/>
          <w:u w:val="single"/>
        </w:rPr>
        <w:t>11.6. – REGIME FISCAL</w:t>
      </w:r>
    </w:p>
    <w:p w:rsidR="00A92C62" w:rsidRPr="00EF60A7" w:rsidRDefault="00A92C62" w:rsidP="00EF60A7">
      <w:pPr>
        <w:jc w:val="both"/>
      </w:pPr>
      <w:r>
        <w:t xml:space="preserve">Supprimer : </w:t>
      </w:r>
      <w:r w:rsidRPr="00EF60A7">
        <w:t xml:space="preserve">Toutes taxes et impositions quelconques, relatives à la convention, sont à charge du concessionnaire </w:t>
      </w:r>
      <w:r w:rsidRPr="00EF60A7">
        <w:rPr>
          <w:b/>
          <w:i/>
        </w:rPr>
        <w:t>sauf le précompte immobilier qui est à charge du concédant</w:t>
      </w:r>
      <w:r w:rsidRPr="00EF60A7">
        <w:t>.</w:t>
      </w:r>
    </w:p>
    <w:p w:rsidR="00A92C62" w:rsidRDefault="00A92C62" w:rsidP="00EF7582">
      <w:pPr>
        <w:jc w:val="both"/>
        <w:rPr>
          <w:rFonts w:ascii="Cambria" w:hAnsi="Cambria"/>
          <w:b/>
          <w:bCs/>
          <w:color w:val="365F91"/>
          <w:sz w:val="28"/>
          <w:szCs w:val="28"/>
          <w:u w:val="single"/>
        </w:rPr>
      </w:pPr>
    </w:p>
    <w:p w:rsidR="00A92C62" w:rsidRDefault="00A92C62" w:rsidP="00EF7582">
      <w:pPr>
        <w:jc w:val="both"/>
        <w:rPr>
          <w:rFonts w:ascii="Cambria" w:hAnsi="Cambria"/>
          <w:b/>
          <w:bCs/>
          <w:color w:val="365F91"/>
          <w:sz w:val="28"/>
          <w:szCs w:val="28"/>
          <w:u w:val="single"/>
        </w:rPr>
      </w:pPr>
      <w:r>
        <w:rPr>
          <w:rFonts w:ascii="Cambria" w:hAnsi="Cambria"/>
          <w:b/>
          <w:bCs/>
          <w:color w:val="365F91"/>
          <w:sz w:val="28"/>
          <w:szCs w:val="28"/>
          <w:u w:val="single"/>
        </w:rPr>
        <w:t xml:space="preserve">Amendement 5 : </w:t>
      </w:r>
      <w:r w:rsidRPr="00AA50E8">
        <w:rPr>
          <w:rFonts w:ascii="Cambria" w:hAnsi="Cambria"/>
          <w:b/>
          <w:bCs/>
          <w:color w:val="365F91"/>
          <w:sz w:val="28"/>
          <w:szCs w:val="28"/>
          <w:u w:val="single"/>
        </w:rPr>
        <w:t>Article 13- COMITE D'ACCOMPAGNEMENT</w:t>
      </w:r>
    </w:p>
    <w:p w:rsidR="00A92C62" w:rsidRPr="00AA50E8" w:rsidRDefault="00A92C62" w:rsidP="00AA50E8">
      <w:pPr>
        <w:jc w:val="both"/>
      </w:pPr>
      <w:r>
        <w:t xml:space="preserve">Ajouter à la fin de l’alinéa premier : </w:t>
      </w:r>
      <w:r w:rsidRPr="00AA50E8">
        <w:t>Le concédant se réserve le droit de faire surveiller la bonne exécution des prestations du concessionnaire</w:t>
      </w:r>
      <w:r>
        <w:t xml:space="preserve"> </w:t>
      </w:r>
      <w:r w:rsidRPr="00AA50E8">
        <w:t>conformément aux prescriptions du présent document</w:t>
      </w:r>
      <w:r>
        <w:t xml:space="preserve">, </w:t>
      </w:r>
      <w:r w:rsidRPr="00AA50E8">
        <w:rPr>
          <w:b/>
          <w:i/>
        </w:rPr>
        <w:t>ainsi que des annexes</w:t>
      </w:r>
      <w:r>
        <w:t xml:space="preserve"> </w:t>
      </w:r>
      <w:r w:rsidRPr="00AA50E8">
        <w:rPr>
          <w:b/>
          <w:i/>
        </w:rPr>
        <w:t>et du contrat programme liant l’ASBL à la Communauté Français</w:t>
      </w:r>
      <w:r>
        <w:rPr>
          <w:b/>
          <w:i/>
        </w:rPr>
        <w:t>e</w:t>
      </w:r>
      <w:r>
        <w:t>.</w:t>
      </w:r>
    </w:p>
    <w:p w:rsidR="00A92C62" w:rsidRDefault="00A92C62" w:rsidP="00AA50E8">
      <w:pPr>
        <w:jc w:val="both"/>
      </w:pPr>
      <w:r>
        <w:t>Ajouter un deuxième alinéa : Le</w:t>
      </w:r>
      <w:r w:rsidRPr="00AA50E8">
        <w:rPr>
          <w:b/>
          <w:i/>
        </w:rPr>
        <w:t xml:space="preserve"> comité d’accompagnement est constitué de l’échevin en charge de la Culture, du directeur de l’administration</w:t>
      </w:r>
      <w:r>
        <w:rPr>
          <w:b/>
          <w:i/>
        </w:rPr>
        <w:t xml:space="preserve">, d’un représentant de la Communauté française désigné  par le département culture et en charge de la gestion des contrats programme </w:t>
      </w:r>
      <w:r w:rsidRPr="00AA50E8">
        <w:rPr>
          <w:b/>
          <w:i/>
        </w:rPr>
        <w:t xml:space="preserve"> ainsi que d’un représentant de chaque groupe siégeant au conseil communal.</w:t>
      </w:r>
      <w:r>
        <w:rPr>
          <w:b/>
          <w:i/>
        </w:rPr>
        <w:t xml:space="preserve">  Le Comité d’accompagnement se réunit une fois par an à l’issue de la programmation annuelle sur base de rapport d’activité annuel déposé par l’ASBL.</w:t>
      </w:r>
    </w:p>
    <w:p w:rsidR="00A92C62" w:rsidRDefault="00A92C62" w:rsidP="00AA50E8">
      <w:pPr>
        <w:jc w:val="both"/>
      </w:pPr>
      <w:r w:rsidRPr="00AA50E8">
        <w:t>Ces contrôles porteront notamment</w:t>
      </w:r>
    </w:p>
    <w:p w:rsidR="00A92C62" w:rsidRPr="00844CA4" w:rsidRDefault="00A92C62" w:rsidP="00AA50E8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844CA4">
        <w:rPr>
          <w:b/>
          <w:i/>
        </w:rPr>
        <w:t xml:space="preserve">Le respect des conditions minimales de programmation, </w:t>
      </w:r>
    </w:p>
    <w:p w:rsidR="00A92C62" w:rsidRPr="00844CA4" w:rsidRDefault="00A92C62" w:rsidP="00AA50E8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844CA4">
        <w:rPr>
          <w:rFonts w:cs="Helvetica"/>
          <w:b/>
          <w:bCs/>
          <w:i/>
          <w:color w:val="000000"/>
          <w:sz w:val="21"/>
          <w:szCs w:val="21"/>
          <w:lang w:eastAsia="fr-BE"/>
        </w:rPr>
        <w:t>Le respect de la diversité des événements que ce soient en termes de  publics touchés ou des organisateurs,</w:t>
      </w:r>
    </w:p>
    <w:p w:rsidR="00A92C62" w:rsidRPr="00844CA4" w:rsidRDefault="00A92C62" w:rsidP="00AA50E8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844CA4">
        <w:rPr>
          <w:b/>
          <w:i/>
        </w:rPr>
        <w:t>Le respect de l'état des locaux et des équipements,</w:t>
      </w:r>
    </w:p>
    <w:p w:rsidR="00A92C62" w:rsidRPr="00844CA4" w:rsidRDefault="00A92C62" w:rsidP="00AA50E8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844CA4">
        <w:rPr>
          <w:rFonts w:cs="Helvetica"/>
          <w:b/>
          <w:bCs/>
          <w:i/>
          <w:color w:val="000000"/>
          <w:sz w:val="21"/>
          <w:szCs w:val="21"/>
          <w:lang w:eastAsia="fr-BE"/>
        </w:rPr>
        <w:t>L’évaluation du positionnement en tant que chaînon manquant entre les petites structures culturelles  (La Zone, Live Club, Hangar, etc...) et les grosses telles  la  Caserne Fonck ou  le  Country Hall.</w:t>
      </w:r>
    </w:p>
    <w:p w:rsidR="00A92C62" w:rsidRDefault="00A92C62" w:rsidP="004F350F">
      <w:pPr>
        <w:jc w:val="both"/>
      </w:pPr>
    </w:p>
    <w:p w:rsidR="00A92C62" w:rsidRDefault="00A92C62" w:rsidP="004F350F">
      <w:pPr>
        <w:jc w:val="both"/>
      </w:pPr>
    </w:p>
    <w:p w:rsidR="00A92C62" w:rsidRDefault="00A92C62" w:rsidP="00C2266E">
      <w:pPr>
        <w:jc w:val="right"/>
      </w:pPr>
      <w:r>
        <w:t xml:space="preserve">Bénédicte Heindrichs </w:t>
      </w:r>
    </w:p>
    <w:p w:rsidR="00A92C62" w:rsidRPr="004F350F" w:rsidRDefault="00A92C62" w:rsidP="00C2266E">
      <w:pPr>
        <w:jc w:val="center"/>
      </w:pPr>
    </w:p>
    <w:sectPr w:rsidR="00A92C62" w:rsidRPr="004F350F" w:rsidSect="00726F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62" w:rsidRDefault="00A92C62" w:rsidP="00F605BF">
      <w:pPr>
        <w:spacing w:after="0" w:line="240" w:lineRule="auto"/>
      </w:pPr>
      <w:r>
        <w:separator/>
      </w:r>
    </w:p>
  </w:endnote>
  <w:endnote w:type="continuationSeparator" w:id="0">
    <w:p w:rsidR="00A92C62" w:rsidRDefault="00A92C62" w:rsidP="00F6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62" w:rsidRDefault="00A92C62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A92C62" w:rsidRDefault="00A92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62" w:rsidRDefault="00A92C62" w:rsidP="00F605BF">
      <w:pPr>
        <w:spacing w:after="0" w:line="240" w:lineRule="auto"/>
      </w:pPr>
      <w:r>
        <w:separator/>
      </w:r>
    </w:p>
  </w:footnote>
  <w:footnote w:type="continuationSeparator" w:id="0">
    <w:p w:rsidR="00A92C62" w:rsidRDefault="00A92C62" w:rsidP="00F60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1639"/>
    <w:multiLevelType w:val="hybridMultilevel"/>
    <w:tmpl w:val="7B305770"/>
    <w:lvl w:ilvl="0" w:tplc="434886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3F"/>
    <w:rsid w:val="0005043F"/>
    <w:rsid w:val="001C6EB4"/>
    <w:rsid w:val="001E2466"/>
    <w:rsid w:val="00456913"/>
    <w:rsid w:val="004F350F"/>
    <w:rsid w:val="004F799B"/>
    <w:rsid w:val="005A6CFE"/>
    <w:rsid w:val="00662FC6"/>
    <w:rsid w:val="006F55C3"/>
    <w:rsid w:val="00726FBB"/>
    <w:rsid w:val="00844CA4"/>
    <w:rsid w:val="009D09EF"/>
    <w:rsid w:val="00A92C62"/>
    <w:rsid w:val="00AA50E8"/>
    <w:rsid w:val="00C2266E"/>
    <w:rsid w:val="00D37D12"/>
    <w:rsid w:val="00ED73D3"/>
    <w:rsid w:val="00EF60A7"/>
    <w:rsid w:val="00EF7582"/>
    <w:rsid w:val="00F6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B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5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758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7582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4F35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F350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AA5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F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05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05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408</Words>
  <Characters>2246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d’amendement Ecolo </dc:title>
  <dc:subject/>
  <dc:creator>BH</dc:creator>
  <cp:keywords/>
  <dc:description/>
  <cp:lastModifiedBy> </cp:lastModifiedBy>
  <cp:revision>2</cp:revision>
  <dcterms:created xsi:type="dcterms:W3CDTF">2015-02-02T21:35:00Z</dcterms:created>
  <dcterms:modified xsi:type="dcterms:W3CDTF">2015-02-02T21:35:00Z</dcterms:modified>
</cp:coreProperties>
</file>